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4C4563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CA43C7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November 4, 2021</w:t>
      </w:r>
    </w:p>
    <w:p w:rsidR="003E5743" w:rsidRDefault="003E5743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CA43C7" w:rsidRPr="005759F2" w:rsidRDefault="00CA43C7" w:rsidP="00CA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  <w:bookmarkStart w:id="0" w:name="_GoBack"/>
      <w:bookmarkEnd w:id="0"/>
    </w:p>
    <w:p w:rsidR="00CA43C7" w:rsidRDefault="00CA43C7" w:rsidP="00CA43C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CA43C7" w:rsidRPr="00B21C4A" w:rsidRDefault="00CA43C7" w:rsidP="00CA43C7">
      <w:pPr>
        <w:pStyle w:val="ListParagraph"/>
        <w:rPr>
          <w:rFonts w:ascii="Times New Roman" w:hAnsi="Times New Roman" w:cs="Times New Roman"/>
          <w:sz w:val="8"/>
        </w:rPr>
      </w:pPr>
    </w:p>
    <w:p w:rsidR="00CA43C7" w:rsidRPr="00BB6432" w:rsidRDefault="00CA43C7" w:rsidP="00CA43C7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CA43C7" w:rsidRPr="00D7234D" w:rsidRDefault="00CA43C7" w:rsidP="00CA43C7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November 2021 Meeting Agenda</w:t>
      </w:r>
    </w:p>
    <w:p w:rsidR="00CA43C7" w:rsidRPr="00C31D94" w:rsidRDefault="00CA43C7" w:rsidP="00CA43C7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CA43C7" w:rsidRPr="005759F2" w:rsidRDefault="00CA43C7" w:rsidP="00CA43C7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CA43C7" w:rsidRPr="00D7234D" w:rsidRDefault="00CA43C7" w:rsidP="00CA43C7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</w:p>
    <w:p w:rsidR="00CA43C7" w:rsidRPr="002F1986" w:rsidRDefault="00CA43C7" w:rsidP="00CA43C7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CA43C7" w:rsidRPr="002F1986" w:rsidRDefault="00CA43C7" w:rsidP="00CA43C7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ab/>
        <w:t>October</w:t>
      </w:r>
      <w:r w:rsidRPr="0002635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2021</w:t>
      </w:r>
      <w:r w:rsidRPr="0002635C">
        <w:rPr>
          <w:rFonts w:ascii="Times New Roman" w:hAnsi="Times New Roman" w:cs="Times New Roman"/>
          <w:b/>
          <w:sz w:val="24"/>
        </w:rPr>
        <w:t xml:space="preserve"> Board Meeting Minutes</w:t>
      </w:r>
      <w:r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CA43C7" w:rsidRDefault="00CA43C7" w:rsidP="00CA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CA43C7" w:rsidRPr="00A7006C" w:rsidRDefault="00CA43C7" w:rsidP="00CA43C7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CA43C7" w:rsidRPr="005759F2" w:rsidRDefault="00CA43C7" w:rsidP="00CA43C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Financial Report-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CA43C7" w:rsidRPr="005759F2" w:rsidRDefault="00CA43C7" w:rsidP="00CA43C7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CA43C7" w:rsidRPr="005759F2" w:rsidRDefault="00CA43C7" w:rsidP="00CA43C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ED Monthly Report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CA43C7" w:rsidRPr="00871050" w:rsidRDefault="00CA43C7" w:rsidP="00CA43C7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CA43C7" w:rsidRDefault="00CA43C7" w:rsidP="00CA43C7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43C7" w:rsidRPr="00867653" w:rsidRDefault="00CA43C7" w:rsidP="00CA43C7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C7" w:rsidRPr="00867653" w:rsidRDefault="00CA43C7" w:rsidP="00CA43C7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  <w:r w:rsidRPr="0086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43C7" w:rsidRPr="00FB3C80" w:rsidRDefault="00CA43C7" w:rsidP="00CA43C7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43C7" w:rsidRPr="00040725" w:rsidRDefault="00CA43C7" w:rsidP="00CA43C7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II. A</w:t>
      </w:r>
      <w:r w:rsidRPr="00BA50F1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Global Executive Constraint</w:t>
      </w:r>
      <w:r w:rsidRPr="00BA50F1">
        <w:rPr>
          <w:rFonts w:cs="Times New Roman"/>
          <w:b/>
          <w:sz w:val="24"/>
          <w:szCs w:val="24"/>
        </w:rPr>
        <w:t xml:space="preserve"> – </w:t>
      </w:r>
      <w:r>
        <w:rPr>
          <w:rFonts w:cs="Times New Roman"/>
          <w:b/>
          <w:sz w:val="24"/>
          <w:szCs w:val="24"/>
        </w:rPr>
        <w:t>Rebecca Craig –</w:t>
      </w:r>
      <w:r w:rsidRPr="002B3856">
        <w:rPr>
          <w:rFonts w:cs="Times New Roman"/>
          <w:b/>
          <w:color w:val="FF0000"/>
          <w:sz w:val="24"/>
          <w:szCs w:val="24"/>
        </w:rPr>
        <w:t>H3</w:t>
      </w:r>
    </w:p>
    <w:p w:rsidR="00CA43C7" w:rsidRDefault="00CA43C7" w:rsidP="00CA43C7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CA43C7" w:rsidRPr="00040725" w:rsidRDefault="00CA43C7" w:rsidP="00CA43C7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II. I</w:t>
      </w:r>
      <w:r w:rsidRPr="00BA50F1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Communication with and Support to the Board- </w:t>
      </w:r>
      <w:r w:rsidRPr="007E37BE">
        <w:rPr>
          <w:rFonts w:cs="Times New Roman"/>
          <w:b/>
          <w:color w:val="FF0000"/>
          <w:sz w:val="24"/>
          <w:szCs w:val="24"/>
        </w:rPr>
        <w:t>H4</w:t>
      </w:r>
      <w:r>
        <w:rPr>
          <w:rFonts w:cs="Times New Roman"/>
          <w:b/>
          <w:sz w:val="24"/>
          <w:szCs w:val="24"/>
        </w:rPr>
        <w:t xml:space="preserve"> w/ procedure; </w:t>
      </w:r>
      <w:r w:rsidRPr="00422503">
        <w:rPr>
          <w:rFonts w:cs="Times New Roman"/>
          <w:b/>
          <w:color w:val="FF0000"/>
          <w:sz w:val="24"/>
          <w:szCs w:val="24"/>
        </w:rPr>
        <w:t>H4a</w:t>
      </w:r>
      <w:r>
        <w:rPr>
          <w:rFonts w:cs="Times New Roman"/>
          <w:b/>
          <w:sz w:val="24"/>
          <w:szCs w:val="24"/>
        </w:rPr>
        <w:t xml:space="preserve"> -Reporting and Addressing Board Member Misconduct </w:t>
      </w:r>
      <w:r w:rsidRPr="00BA50F1">
        <w:rPr>
          <w:rFonts w:cs="Times New Roman"/>
          <w:b/>
          <w:sz w:val="24"/>
          <w:szCs w:val="24"/>
        </w:rPr>
        <w:t xml:space="preserve"> – </w:t>
      </w:r>
      <w:r w:rsidRPr="00F636BB">
        <w:rPr>
          <w:rFonts w:cs="Times New Roman"/>
          <w:i/>
          <w:sz w:val="24"/>
          <w:szCs w:val="24"/>
          <w:u w:val="single"/>
        </w:rPr>
        <w:t>Laura Jolly</w:t>
      </w:r>
    </w:p>
    <w:p w:rsidR="00CA43C7" w:rsidRPr="00315DC3" w:rsidRDefault="00CA43C7" w:rsidP="00CA43C7">
      <w:pPr>
        <w:pStyle w:val="ListParagraph"/>
        <w:spacing w:beforeLines="60" w:before="144" w:afterLines="40" w:after="96"/>
        <w:ind w:left="1080"/>
        <w:rPr>
          <w:rFonts w:cs="Times New Roman"/>
          <w:b/>
          <w:sz w:val="8"/>
          <w:szCs w:val="24"/>
        </w:rPr>
      </w:pPr>
    </w:p>
    <w:p w:rsidR="00CA43C7" w:rsidRPr="00F32977" w:rsidRDefault="00CA43C7" w:rsidP="00CA43C7">
      <w:pPr>
        <w:spacing w:beforeLines="60" w:before="144" w:afterLines="40" w:after="96"/>
        <w:ind w:left="720" w:hanging="360"/>
        <w:contextualSpacing/>
        <w:rPr>
          <w:rFonts w:cs="Times New Roman"/>
          <w:b/>
          <w:sz w:val="24"/>
          <w:szCs w:val="24"/>
          <w:u w:val="single"/>
        </w:rPr>
      </w:pPr>
      <w:r w:rsidRPr="00F32977">
        <w:rPr>
          <w:rFonts w:cs="Times New Roman"/>
          <w:b/>
          <w:sz w:val="24"/>
          <w:szCs w:val="24"/>
          <w:u w:val="single"/>
        </w:rPr>
        <w:t>Board – ED Linkage Review</w:t>
      </w:r>
      <w:r w:rsidRPr="00F32977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CA43C7" w:rsidRPr="00F32977" w:rsidRDefault="00CA43C7" w:rsidP="00CA43C7">
      <w:pPr>
        <w:spacing w:beforeLines="60" w:before="144" w:afterLines="40" w:after="96"/>
        <w:ind w:left="1080"/>
        <w:contextualSpacing/>
        <w:rPr>
          <w:rFonts w:cs="Times New Roman"/>
          <w:b/>
          <w:sz w:val="8"/>
          <w:szCs w:val="24"/>
        </w:rPr>
      </w:pPr>
    </w:p>
    <w:p w:rsidR="00CA43C7" w:rsidRPr="00F32977" w:rsidRDefault="00CA43C7" w:rsidP="00CA43C7">
      <w:pPr>
        <w:spacing w:beforeLines="60" w:before="144" w:afterLines="40" w:after="96"/>
        <w:ind w:left="720"/>
        <w:contextualSpacing/>
        <w:rPr>
          <w:rFonts w:cs="Times New Roman"/>
          <w:b/>
          <w:sz w:val="24"/>
          <w:szCs w:val="24"/>
        </w:rPr>
      </w:pPr>
      <w:r w:rsidRPr="00F32977">
        <w:rPr>
          <w:rFonts w:cs="Times New Roman"/>
          <w:b/>
          <w:sz w:val="24"/>
          <w:szCs w:val="24"/>
        </w:rPr>
        <w:t xml:space="preserve"> IV. E.  Monitoring ED Performance</w:t>
      </w:r>
      <w:r>
        <w:rPr>
          <w:rFonts w:cs="Times New Roman"/>
          <w:b/>
          <w:sz w:val="24"/>
          <w:szCs w:val="24"/>
        </w:rPr>
        <w:t xml:space="preserve"> </w:t>
      </w:r>
      <w:r w:rsidRPr="00F32977">
        <w:rPr>
          <w:rFonts w:cs="Times New Roman"/>
          <w:b/>
          <w:color w:val="FF0000"/>
          <w:sz w:val="24"/>
          <w:szCs w:val="24"/>
        </w:rPr>
        <w:t xml:space="preserve">H5 </w:t>
      </w:r>
      <w:r w:rsidRPr="00F32977">
        <w:rPr>
          <w:rFonts w:cs="Times New Roman"/>
          <w:b/>
          <w:sz w:val="24"/>
          <w:szCs w:val="24"/>
        </w:rPr>
        <w:t>with corresponding Procedure</w:t>
      </w:r>
      <w:r>
        <w:rPr>
          <w:rFonts w:cs="Times New Roman"/>
          <w:b/>
          <w:sz w:val="24"/>
          <w:szCs w:val="24"/>
        </w:rPr>
        <w:t xml:space="preserve"> </w:t>
      </w:r>
      <w:r w:rsidRPr="00F32977">
        <w:rPr>
          <w:rFonts w:cs="Times New Roman"/>
          <w:b/>
          <w:color w:val="FF0000"/>
          <w:sz w:val="24"/>
          <w:szCs w:val="24"/>
        </w:rPr>
        <w:t>H5a</w:t>
      </w:r>
      <w:r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color w:val="FF0000"/>
          <w:sz w:val="24"/>
          <w:szCs w:val="24"/>
        </w:rPr>
        <w:t xml:space="preserve"> </w:t>
      </w:r>
      <w:r w:rsidRPr="005B7DA1">
        <w:rPr>
          <w:rFonts w:cs="Times New Roman"/>
          <w:b/>
          <w:sz w:val="24"/>
          <w:szCs w:val="24"/>
        </w:rPr>
        <w:t xml:space="preserve">Evaluation Process </w:t>
      </w:r>
      <w:r w:rsidRPr="00F32977">
        <w:rPr>
          <w:rFonts w:cs="Times New Roman"/>
          <w:b/>
          <w:sz w:val="24"/>
          <w:szCs w:val="24"/>
        </w:rPr>
        <w:t xml:space="preserve">to be reviewed and report presented by </w:t>
      </w:r>
      <w:r w:rsidRPr="00F636BB">
        <w:rPr>
          <w:rFonts w:cs="Times New Roman"/>
          <w:i/>
          <w:sz w:val="24"/>
          <w:szCs w:val="24"/>
          <w:u w:val="single"/>
        </w:rPr>
        <w:t>Shirley Washington</w:t>
      </w:r>
    </w:p>
    <w:p w:rsidR="00CA43C7" w:rsidRPr="00315DC3" w:rsidRDefault="00CA43C7" w:rsidP="00CA43C7">
      <w:pPr>
        <w:spacing w:beforeLines="60" w:before="144" w:afterLines="40" w:after="96" w:line="240" w:lineRule="auto"/>
        <w:ind w:firstLine="720"/>
        <w:rPr>
          <w:rFonts w:cs="Times New Roman"/>
          <w:b/>
          <w:sz w:val="2"/>
          <w:szCs w:val="24"/>
        </w:rPr>
      </w:pPr>
    </w:p>
    <w:p w:rsidR="00CA43C7" w:rsidRDefault="00CA43C7" w:rsidP="00CA43C7">
      <w:pPr>
        <w:pStyle w:val="NoSpacing"/>
        <w:ind w:left="1080"/>
        <w:rPr>
          <w:i/>
          <w:color w:val="0070C0"/>
          <w:u w:val="single"/>
        </w:rPr>
      </w:pPr>
    </w:p>
    <w:p w:rsidR="00CA43C7" w:rsidRPr="00A40356" w:rsidRDefault="00CA43C7" w:rsidP="00CA43C7">
      <w:pPr>
        <w:pStyle w:val="NoSpacing"/>
        <w:rPr>
          <w:sz w:val="4"/>
        </w:rPr>
      </w:pPr>
    </w:p>
    <w:p w:rsidR="00CA43C7" w:rsidRPr="00CA43C7" w:rsidRDefault="00CA43C7" w:rsidP="00CA43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CA43C7" w:rsidRPr="00CA43C7" w:rsidRDefault="00CA43C7" w:rsidP="00CA43C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CA43C7" w:rsidRPr="000F4F56" w:rsidRDefault="00CA43C7" w:rsidP="00CA43C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F4F56">
        <w:rPr>
          <w:rFonts w:ascii="Times New Roman" w:hAnsi="Times New Roman" w:cs="Times New Roman"/>
          <w:b/>
          <w:sz w:val="24"/>
          <w:szCs w:val="24"/>
        </w:rPr>
        <w:t xml:space="preserve">Board Development/Training Topic – Developmental Disabilities </w:t>
      </w:r>
    </w:p>
    <w:p w:rsidR="00CA43C7" w:rsidRPr="00CA43C7" w:rsidRDefault="00CA43C7" w:rsidP="00CA43C7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i/>
          <w:color w:val="C00000"/>
          <w:sz w:val="40"/>
        </w:rPr>
      </w:pPr>
      <w:r w:rsidRPr="00A04E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A43C7" w:rsidRPr="006E605A" w:rsidRDefault="00CA43C7" w:rsidP="00CA43C7">
      <w:pPr>
        <w:pStyle w:val="ListParagraph"/>
        <w:tabs>
          <w:tab w:val="left" w:pos="720"/>
        </w:tabs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  <w:r>
        <w:rPr>
          <w:rFonts w:ascii="Times New Roman" w:hAnsi="Times New Roman" w:cs="Times New Roman"/>
          <w:i/>
          <w:sz w:val="2"/>
        </w:rPr>
        <w:lastRenderedPageBreak/>
        <w:tab/>
      </w:r>
    </w:p>
    <w:p w:rsidR="00CA43C7" w:rsidRPr="004219D5" w:rsidRDefault="00CA43C7" w:rsidP="00CA43C7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CA43C7" w:rsidRPr="005759F2" w:rsidRDefault="00CA43C7" w:rsidP="00CA43C7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CA43C7" w:rsidRDefault="00CA43C7" w:rsidP="00CA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December </w:t>
      </w:r>
    </w:p>
    <w:p w:rsidR="00CA43C7" w:rsidRPr="000F4F56" w:rsidRDefault="00CA43C7" w:rsidP="00CA43C7">
      <w:pPr>
        <w:ind w:firstLine="360"/>
        <w:rPr>
          <w:rFonts w:ascii="Times New Roman" w:hAnsi="Times New Roman" w:cs="Times New Roman"/>
          <w:sz w:val="24"/>
        </w:rPr>
      </w:pPr>
      <w:r w:rsidRPr="000F4F56">
        <w:rPr>
          <w:rFonts w:ascii="Times New Roman" w:hAnsi="Times New Roman" w:cs="Times New Roman"/>
          <w:b/>
          <w:sz w:val="24"/>
        </w:rPr>
        <w:t xml:space="preserve">Executive Limits – </w:t>
      </w:r>
      <w:r w:rsidRPr="000F4F56">
        <w:rPr>
          <w:rFonts w:ascii="Times New Roman" w:hAnsi="Times New Roman" w:cs="Times New Roman"/>
          <w:sz w:val="24"/>
        </w:rPr>
        <w:t>II.G. Asset Protection – ED</w:t>
      </w:r>
    </w:p>
    <w:p w:rsidR="00CA43C7" w:rsidRDefault="00CA43C7" w:rsidP="00CA43C7">
      <w:pPr>
        <w:ind w:firstLine="36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Business </w:t>
      </w:r>
    </w:p>
    <w:p w:rsidR="00CA43C7" w:rsidRPr="00DC6FDA" w:rsidRDefault="00CA43C7" w:rsidP="00CA43C7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DC6FDA">
        <w:rPr>
          <w:rFonts w:ascii="Times New Roman" w:hAnsi="Times New Roman" w:cs="Times New Roman"/>
          <w:sz w:val="24"/>
          <w:szCs w:val="24"/>
        </w:rPr>
        <w:t>Comments Solicited on ED’s Performance</w:t>
      </w:r>
    </w:p>
    <w:p w:rsidR="00CA43C7" w:rsidRPr="000F0348" w:rsidRDefault="00CA43C7" w:rsidP="00CA43C7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F0348">
        <w:rPr>
          <w:rFonts w:ascii="Times New Roman" w:hAnsi="Times New Roman" w:cs="Times New Roman"/>
          <w:sz w:val="24"/>
          <w:szCs w:val="24"/>
        </w:rPr>
        <w:t>ED Performance Committee Named</w:t>
      </w:r>
    </w:p>
    <w:p w:rsidR="00CA43C7" w:rsidRPr="00DC6FDA" w:rsidRDefault="00CA43C7" w:rsidP="00CA43C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43C7" w:rsidRPr="00DC6FDA" w:rsidRDefault="00CA43C7" w:rsidP="00CA43C7">
      <w:pPr>
        <w:tabs>
          <w:tab w:val="left" w:pos="144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DC6FDA">
        <w:rPr>
          <w:rFonts w:ascii="Times New Roman" w:hAnsi="Times New Roman" w:cs="Times New Roman"/>
          <w:b/>
          <w:sz w:val="24"/>
          <w:szCs w:val="24"/>
        </w:rPr>
        <w:t>Strategic Priorities (Means</w:t>
      </w:r>
      <w:r w:rsidRPr="00DC6FDA">
        <w:rPr>
          <w:rFonts w:ascii="Times New Roman" w:hAnsi="Times New Roman" w:cs="Times New Roman"/>
          <w:sz w:val="24"/>
          <w:szCs w:val="24"/>
        </w:rPr>
        <w:t>)</w:t>
      </w:r>
    </w:p>
    <w:p w:rsidR="00CA43C7" w:rsidRPr="00DC6FDA" w:rsidRDefault="00CA43C7" w:rsidP="00CA43C7">
      <w:pPr>
        <w:tabs>
          <w:tab w:val="left" w:pos="1440"/>
        </w:tabs>
        <w:spacing w:after="0" w:line="240" w:lineRule="auto"/>
        <w:ind w:firstLine="45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CA43C7" w:rsidRPr="00DC6FDA" w:rsidRDefault="00CA43C7" w:rsidP="00CA43C7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C6FDA">
        <w:rPr>
          <w:rFonts w:ascii="Times New Roman" w:hAnsi="Times New Roman" w:cs="Times New Roman"/>
          <w:sz w:val="24"/>
          <w:szCs w:val="24"/>
        </w:rPr>
        <w:t>Policy Limits Form Initialed by ED</w:t>
      </w:r>
    </w:p>
    <w:p w:rsidR="00CA43C7" w:rsidRPr="00DC6FDA" w:rsidRDefault="00CA43C7" w:rsidP="00CA43C7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C6FDA">
        <w:rPr>
          <w:rFonts w:ascii="Times New Roman" w:hAnsi="Times New Roman" w:cs="Times New Roman"/>
          <w:sz w:val="24"/>
          <w:szCs w:val="24"/>
        </w:rPr>
        <w:t xml:space="preserve">Status Update on CLHSD Strategic Plan Selective Initiatives </w:t>
      </w:r>
    </w:p>
    <w:p w:rsidR="00CA43C7" w:rsidRPr="00DC6FDA" w:rsidRDefault="00CA43C7" w:rsidP="00CA43C7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C6FDA">
        <w:rPr>
          <w:rFonts w:ascii="Times New Roman" w:hAnsi="Times New Roman" w:cs="Times New Roman"/>
          <w:sz w:val="24"/>
          <w:szCs w:val="24"/>
        </w:rPr>
        <w:t>Strategic Priorities</w:t>
      </w:r>
    </w:p>
    <w:p w:rsidR="00CA43C7" w:rsidRDefault="00CA43C7" w:rsidP="00CA43C7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CA43C7" w:rsidRPr="0090455B" w:rsidRDefault="00CA43C7" w:rsidP="00CA43C7">
      <w:pPr>
        <w:tabs>
          <w:tab w:val="left" w:pos="1170"/>
        </w:tabs>
        <w:spacing w:after="0" w:line="360" w:lineRule="auto"/>
        <w:ind w:left="1440"/>
        <w:contextualSpacing/>
        <w:rPr>
          <w:rFonts w:ascii="Times New Roman" w:hAnsi="Times New Roman" w:cs="Times New Roman"/>
          <w:sz w:val="2"/>
          <w:szCs w:val="24"/>
        </w:rPr>
      </w:pPr>
    </w:p>
    <w:p w:rsidR="00CA43C7" w:rsidRPr="000D25B4" w:rsidRDefault="00CA43C7" w:rsidP="00CA43C7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"/>
        </w:rPr>
      </w:pPr>
      <w:r w:rsidRPr="009045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D25B4">
        <w:rPr>
          <w:rFonts w:ascii="Times New Roman" w:hAnsi="Times New Roman" w:cs="Times New Roman"/>
        </w:rPr>
        <w:tab/>
      </w:r>
    </w:p>
    <w:p w:rsidR="00CA43C7" w:rsidRPr="00A40356" w:rsidRDefault="00CA43C7" w:rsidP="00CA43C7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CA43C7" w:rsidRPr="005759F2" w:rsidRDefault="00CA43C7" w:rsidP="00CA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CA43C7" w:rsidRDefault="00CA43C7" w:rsidP="00CA43C7">
      <w:pPr>
        <w:pStyle w:val="NoSpacing"/>
        <w:ind w:left="360"/>
        <w:rPr>
          <w:vertAlign w:val="superscript"/>
        </w:rPr>
      </w:pPr>
      <w:r w:rsidRPr="005759F2">
        <w:t>Next meeting</w:t>
      </w:r>
      <w:r>
        <w:t xml:space="preserve"> – December 2, 2021</w:t>
      </w:r>
    </w:p>
    <w:p w:rsidR="00CA43C7" w:rsidRDefault="00CA43C7" w:rsidP="00CA43C7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:rsidR="00CA43C7" w:rsidRPr="00A40356" w:rsidRDefault="00CA43C7" w:rsidP="00CA43C7">
      <w:pPr>
        <w:pStyle w:val="NoSpacing"/>
        <w:ind w:left="720"/>
        <w:rPr>
          <w:color w:val="FF0000"/>
          <w:sz w:val="8"/>
        </w:rPr>
      </w:pPr>
    </w:p>
    <w:p w:rsidR="00CA43C7" w:rsidRPr="005759F2" w:rsidRDefault="00CA43C7" w:rsidP="00CA4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35" w:rsidRDefault="004C4563" w:rsidP="00B029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NOTICE IS HEREBY GIVEN that The Board of Directors of Central Louisiana Human Services District Board will conduct its monthly meeting on Thursday</w:t>
    </w:r>
    <w:r>
      <w:rPr>
        <w:rFonts w:ascii="Times New Roman" w:eastAsia="Times New Roman" w:hAnsi="Times New Roman" w:cs="Times New Roman"/>
        <w:b/>
        <w:sz w:val="18"/>
        <w:szCs w:val="18"/>
      </w:rPr>
      <w:t>, November 4th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at 5411 Coliseum Blvd, Alexandria, LA.    The tentative agenda follows:</w:t>
    </w:r>
    <w:r w:rsidR="006327C2">
      <w:rPr>
        <w:rFonts w:ascii="Times New Roman" w:eastAsia="Times New Roman" w:hAnsi="Times New Roman" w:cs="Times New Roman"/>
        <w:b/>
        <w:sz w:val="18"/>
        <w:szCs w:val="18"/>
      </w:rPr>
      <w:tab/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29"/>
  </w:num>
  <w:num w:numId="5">
    <w:abstractNumId w:val="35"/>
  </w:num>
  <w:num w:numId="6">
    <w:abstractNumId w:val="11"/>
  </w:num>
  <w:num w:numId="7">
    <w:abstractNumId w:val="21"/>
  </w:num>
  <w:num w:numId="8">
    <w:abstractNumId w:val="12"/>
  </w:num>
  <w:num w:numId="9">
    <w:abstractNumId w:val="2"/>
  </w:num>
  <w:num w:numId="10">
    <w:abstractNumId w:val="31"/>
  </w:num>
  <w:num w:numId="11">
    <w:abstractNumId w:val="34"/>
  </w:num>
  <w:num w:numId="12">
    <w:abstractNumId w:val="25"/>
  </w:num>
  <w:num w:numId="13">
    <w:abstractNumId w:val="15"/>
  </w:num>
  <w:num w:numId="14">
    <w:abstractNumId w:val="4"/>
  </w:num>
  <w:num w:numId="15">
    <w:abstractNumId w:val="22"/>
  </w:num>
  <w:num w:numId="16">
    <w:abstractNumId w:val="26"/>
  </w:num>
  <w:num w:numId="17">
    <w:abstractNumId w:val="19"/>
  </w:num>
  <w:num w:numId="18">
    <w:abstractNumId w:val="30"/>
  </w:num>
  <w:num w:numId="19">
    <w:abstractNumId w:val="20"/>
  </w:num>
  <w:num w:numId="20">
    <w:abstractNumId w:val="38"/>
  </w:num>
  <w:num w:numId="21">
    <w:abstractNumId w:val="36"/>
  </w:num>
  <w:num w:numId="22">
    <w:abstractNumId w:val="0"/>
  </w:num>
  <w:num w:numId="23">
    <w:abstractNumId w:val="32"/>
  </w:num>
  <w:num w:numId="24">
    <w:abstractNumId w:val="18"/>
  </w:num>
  <w:num w:numId="25">
    <w:abstractNumId w:val="33"/>
  </w:num>
  <w:num w:numId="26">
    <w:abstractNumId w:val="7"/>
  </w:num>
  <w:num w:numId="27">
    <w:abstractNumId w:val="6"/>
  </w:num>
  <w:num w:numId="28">
    <w:abstractNumId w:val="17"/>
  </w:num>
  <w:num w:numId="29">
    <w:abstractNumId w:val="10"/>
  </w:num>
  <w:num w:numId="30">
    <w:abstractNumId w:val="27"/>
  </w:num>
  <w:num w:numId="31">
    <w:abstractNumId w:val="41"/>
  </w:num>
  <w:num w:numId="32">
    <w:abstractNumId w:val="39"/>
  </w:num>
  <w:num w:numId="33">
    <w:abstractNumId w:val="23"/>
  </w:num>
  <w:num w:numId="34">
    <w:abstractNumId w:val="14"/>
  </w:num>
  <w:num w:numId="35">
    <w:abstractNumId w:val="37"/>
  </w:num>
  <w:num w:numId="36">
    <w:abstractNumId w:val="3"/>
  </w:num>
  <w:num w:numId="37">
    <w:abstractNumId w:val="13"/>
  </w:num>
  <w:num w:numId="38">
    <w:abstractNumId w:val="1"/>
  </w:num>
  <w:num w:numId="39">
    <w:abstractNumId w:val="24"/>
  </w:num>
  <w:num w:numId="40">
    <w:abstractNumId w:val="8"/>
  </w:num>
  <w:num w:numId="41">
    <w:abstractNumId w:val="28"/>
  </w:num>
  <w:num w:numId="4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4563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15A9"/>
    <w:rsid w:val="00DA674F"/>
    <w:rsid w:val="00DA7B57"/>
    <w:rsid w:val="00DB2B5C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673F3071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A1EC-D08C-47A0-860D-B1EA8A17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2021-11-01T14:39:00Z</dcterms:created>
  <dcterms:modified xsi:type="dcterms:W3CDTF">2021-11-01T14:39:00Z</dcterms:modified>
</cp:coreProperties>
</file>